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D5A39" w:rsidR="009618A0" w:rsidP="00841B6C" w:rsidRDefault="009618A0" w14:paraId="6D20C88B" w14:textId="77777777">
      <w:pPr>
        <w:jc w:val="center"/>
        <w:rPr>
          <w:rFonts w:asciiTheme="majorHAnsi" w:hAnsiTheme="majorHAnsi" w:cstheme="majorHAnsi"/>
          <w:b/>
        </w:rPr>
      </w:pPr>
    </w:p>
    <w:p w:rsidRPr="00DD5A39" w:rsidR="009B7C73" w:rsidP="00841B6C" w:rsidRDefault="005C7247" w14:paraId="1DBA616D" w14:textId="77777777">
      <w:pPr>
        <w:tabs>
          <w:tab w:val="left" w:pos="4265"/>
          <w:tab w:val="center" w:pos="7285"/>
        </w:tabs>
        <w:rPr>
          <w:rFonts w:asciiTheme="majorHAnsi" w:hAnsiTheme="majorHAnsi" w:cstheme="majorHAnsi"/>
          <w:b/>
        </w:rPr>
      </w:pPr>
      <w:r w:rsidRPr="00DD5A39">
        <w:rPr>
          <w:rFonts w:asciiTheme="majorHAnsi" w:hAnsiTheme="majorHAnsi" w:cstheme="majorHAnsi"/>
          <w:b/>
        </w:rPr>
        <w:tab/>
      </w:r>
      <w:r w:rsidRPr="00DD5A39">
        <w:rPr>
          <w:rFonts w:asciiTheme="majorHAnsi" w:hAnsiTheme="majorHAnsi" w:cstheme="majorHAnsi"/>
          <w:b/>
        </w:rPr>
        <w:tab/>
      </w:r>
    </w:p>
    <w:p w:rsidRPr="00DD5A39" w:rsidR="00FC4682" w:rsidP="00841B6C" w:rsidRDefault="0067137A" w14:paraId="12385FDA" w14:textId="77777777">
      <w:pPr>
        <w:tabs>
          <w:tab w:val="left" w:pos="4265"/>
          <w:tab w:val="center" w:pos="7285"/>
        </w:tabs>
        <w:jc w:val="center"/>
        <w:rPr>
          <w:rFonts w:asciiTheme="majorHAnsi" w:hAnsiTheme="majorHAnsi" w:cstheme="majorHAnsi"/>
          <w:b/>
        </w:rPr>
      </w:pPr>
      <w:r w:rsidRPr="00DD5A39">
        <w:rPr>
          <w:rFonts w:asciiTheme="majorHAnsi" w:hAnsiTheme="majorHAnsi" w:cstheme="majorHAnsi"/>
          <w:b/>
        </w:rPr>
        <w:t xml:space="preserve">SPECYFIKACJA </w:t>
      </w:r>
      <w:r w:rsidRPr="00DD5A39" w:rsidR="008A666E">
        <w:rPr>
          <w:rFonts w:asciiTheme="majorHAnsi" w:hAnsiTheme="majorHAnsi" w:cstheme="majorHAnsi"/>
          <w:b/>
          <w:lang w:eastAsia="pl-PL"/>
        </w:rPr>
        <w:t>TECHNICZNO-FUNKCJONALNA</w:t>
      </w:r>
    </w:p>
    <w:p w:rsidR="008A666E" w:rsidP="00841B6C" w:rsidRDefault="008A666E" w14:paraId="17C1EC17" w14:textId="77777777">
      <w:pPr>
        <w:pStyle w:val="Bezodstpw"/>
        <w:jc w:val="both"/>
        <w:rPr>
          <w:rFonts w:asciiTheme="majorHAnsi" w:hAnsiTheme="majorHAnsi" w:cstheme="majorHAnsi"/>
          <w:bCs/>
          <w:szCs w:val="24"/>
        </w:rPr>
      </w:pPr>
    </w:p>
    <w:p w:rsidRPr="00573380" w:rsidR="00573380" w:rsidP="00573380" w:rsidRDefault="00573380" w14:paraId="4AE1A140" w14:textId="4C2DE6ED">
      <w:pPr>
        <w:pStyle w:val="Bezodstpw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Pompa objętościowa</w:t>
      </w:r>
    </w:p>
    <w:p w:rsidRPr="00573380" w:rsidR="00573380" w:rsidP="00573380" w:rsidRDefault="00573380" w14:paraId="4CF3E3E6" w14:textId="77777777">
      <w:pPr>
        <w:pStyle w:val="Bezodstpw"/>
        <w:jc w:val="both"/>
        <w:rPr>
          <w:rFonts w:asciiTheme="majorHAnsi" w:hAnsiTheme="majorHAnsi" w:cstheme="majorHAnsi"/>
          <w:b/>
          <w:bCs/>
        </w:rPr>
      </w:pPr>
    </w:p>
    <w:p w:rsidRPr="00573380" w:rsidR="00573380" w:rsidP="00573380" w:rsidRDefault="00573380" w14:paraId="437ACB9E" w14:textId="77777777">
      <w:pPr>
        <w:pStyle w:val="Bezodstpw"/>
        <w:jc w:val="both"/>
        <w:rPr>
          <w:rFonts w:asciiTheme="majorHAnsi" w:hAnsiTheme="majorHAnsi" w:cstheme="majorHAnsi"/>
          <w:b/>
          <w:bCs/>
        </w:rPr>
      </w:pPr>
      <w:r w:rsidRPr="00573380">
        <w:rPr>
          <w:rFonts w:asciiTheme="majorHAnsi" w:hAnsiTheme="majorHAnsi" w:cstheme="majorHAnsi"/>
          <w:b/>
          <w:bCs/>
        </w:rPr>
        <w:t>Oferowane urządzenie (typ, model, producent) ………………………………….</w:t>
      </w:r>
    </w:p>
    <w:p w:rsidRPr="00DD5A39" w:rsidR="00573380" w:rsidP="00841B6C" w:rsidRDefault="00573380" w14:paraId="3E4531FC" w14:textId="77777777">
      <w:pPr>
        <w:pStyle w:val="Bezodstpw"/>
        <w:jc w:val="both"/>
        <w:rPr>
          <w:rFonts w:asciiTheme="majorHAnsi" w:hAnsiTheme="majorHAnsi" w:cstheme="majorHAnsi"/>
          <w:bCs/>
          <w:szCs w:val="24"/>
        </w:rPr>
      </w:pPr>
    </w:p>
    <w:p w:rsidRPr="00DD5A39" w:rsidR="008D1481" w:rsidP="00841B6C" w:rsidRDefault="008D1481" w14:paraId="27BE2784" w14:textId="77777777">
      <w:pPr>
        <w:pStyle w:val="Bezodstpw"/>
        <w:jc w:val="both"/>
        <w:rPr>
          <w:rFonts w:asciiTheme="majorHAnsi" w:hAnsiTheme="majorHAnsi" w:cstheme="majorHAnsi"/>
          <w:szCs w:val="24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Pr="00DD5A39" w:rsidR="008D1481" w:rsidTr="690501B0" w14:paraId="120E3C2F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5A39" w:rsidR="008D1481" w:rsidRDefault="008D1481" w14:paraId="44FEA8D4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DD5A39">
              <w:rPr>
                <w:rFonts w:asciiTheme="majorHAnsi" w:hAnsiTheme="majorHAnsi" w:cstheme="majorHAnsi"/>
                <w:b/>
                <w:bCs/>
                <w:sz w:val="24"/>
              </w:rPr>
              <w:t>L. P.</w:t>
            </w:r>
          </w:p>
        </w:tc>
        <w:tc>
          <w:tcPr>
            <w:tcW w:w="4860" w:type="dxa"/>
            <w:tcMar/>
            <w:vAlign w:val="center"/>
          </w:tcPr>
          <w:p w:rsidRPr="00DD5A39" w:rsidR="008D1481" w:rsidRDefault="008D1481" w14:paraId="789F977E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DD5A39">
              <w:rPr>
                <w:rFonts w:asciiTheme="majorHAnsi" w:hAnsiTheme="majorHAnsi" w:cstheme="majorHAnsi"/>
                <w:b/>
                <w:bCs/>
                <w:sz w:val="24"/>
              </w:rPr>
              <w:t>OPIS</w:t>
            </w:r>
          </w:p>
        </w:tc>
        <w:tc>
          <w:tcPr>
            <w:tcW w:w="4252" w:type="dxa"/>
            <w:tcMar/>
            <w:vAlign w:val="center"/>
          </w:tcPr>
          <w:p w:rsidRPr="00DD5A39" w:rsidR="008D1481" w:rsidRDefault="008D1481" w14:paraId="1D83ABBF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DD5A39">
              <w:rPr>
                <w:rFonts w:asciiTheme="majorHAnsi" w:hAnsiTheme="majorHAnsi" w:cstheme="majorHAnsi"/>
                <w:b/>
                <w:bCs/>
                <w:sz w:val="24"/>
              </w:rPr>
              <w:t>PARAMETR WYMAGANY</w:t>
            </w:r>
          </w:p>
        </w:tc>
        <w:tc>
          <w:tcPr>
            <w:tcW w:w="4253" w:type="dxa"/>
            <w:tcMar/>
            <w:vAlign w:val="center"/>
          </w:tcPr>
          <w:p w:rsidRPr="00DD5A39" w:rsidR="008D1481" w:rsidRDefault="008D1481" w14:paraId="5F60724F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DD5A39">
              <w:rPr>
                <w:rFonts w:asciiTheme="majorHAnsi" w:hAnsiTheme="majorHAnsi" w:cstheme="majorHAnsi"/>
                <w:b/>
                <w:bCs/>
                <w:sz w:val="24"/>
              </w:rPr>
              <w:t>PARAMETR OFEROWANY</w:t>
            </w:r>
          </w:p>
        </w:tc>
      </w:tr>
      <w:tr w:rsidRPr="00DD5A39" w:rsidR="008D1481" w:rsidTr="690501B0" w14:paraId="54F4FE22" w14:textId="77777777">
        <w:trPr>
          <w:jc w:val="center"/>
        </w:trPr>
        <w:tc>
          <w:tcPr>
            <w:tcW w:w="14029" w:type="dxa"/>
            <w:gridSpan w:val="4"/>
            <w:tcMar/>
            <w:vAlign w:val="center"/>
          </w:tcPr>
          <w:p w:rsidRPr="00DD5A39" w:rsidR="008D1481" w:rsidRDefault="00417542" w14:paraId="472797BD" w14:textId="7918D97F">
            <w:pPr>
              <w:rPr>
                <w:rFonts w:asciiTheme="majorHAnsi" w:hAnsiTheme="majorHAnsi" w:cstheme="majorHAnsi"/>
                <w:b/>
                <w:bCs/>
                <w:sz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</w:rPr>
              <w:t xml:space="preserve">Pompa objętościowa </w:t>
            </w:r>
          </w:p>
        </w:tc>
      </w:tr>
      <w:tr w:rsidRPr="00DD5A39" w:rsidR="008D1481" w:rsidTr="690501B0" w14:paraId="2BFBEE62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8D1481" w:rsidP="00573380" w:rsidRDefault="008D1481" w14:paraId="5A3CB02E" w14:textId="1800E39F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417542" w:rsidR="008D1481" w:rsidP="00AF6A93" w:rsidRDefault="00417542" w14:paraId="653FAF4C" w14:textId="125D522F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17542">
              <w:rPr>
                <w:rFonts w:asciiTheme="majorHAnsi" w:hAnsiTheme="majorHAnsi" w:cstheme="majorHAnsi"/>
                <w:sz w:val="24"/>
              </w:rPr>
              <w:t xml:space="preserve">Możliwa podaż płynów infuzyjnych, żywienia pozajelitowego, </w:t>
            </w:r>
            <w:r w:rsidRPr="006B150B">
              <w:rPr>
                <w:rFonts w:asciiTheme="majorHAnsi" w:hAnsiTheme="majorHAnsi" w:cstheme="majorHAnsi"/>
                <w:sz w:val="24"/>
              </w:rPr>
              <w:t>żywienia dojelitowego</w:t>
            </w:r>
            <w:r w:rsidRPr="00417542">
              <w:rPr>
                <w:rFonts w:asciiTheme="majorHAnsi" w:hAnsiTheme="majorHAnsi" w:cstheme="majorHAnsi"/>
                <w:sz w:val="24"/>
              </w:rPr>
              <w:t xml:space="preserve">, podaż krwi i preparatów krwiozastępczych, preparatów światłoczułych. Dreny bez zawartości DEHP </w:t>
            </w:r>
            <w:r>
              <w:rPr>
                <w:rFonts w:asciiTheme="majorHAnsi" w:hAnsiTheme="majorHAnsi" w:cstheme="majorHAnsi"/>
                <w:sz w:val="24"/>
              </w:rPr>
              <w:br/>
            </w:r>
            <w:r w:rsidRPr="00417542">
              <w:rPr>
                <w:rFonts w:asciiTheme="majorHAnsi" w:hAnsiTheme="majorHAnsi" w:cstheme="majorHAnsi"/>
                <w:sz w:val="24"/>
              </w:rPr>
              <w:t>i lateksu.</w:t>
            </w:r>
          </w:p>
        </w:tc>
        <w:tc>
          <w:tcPr>
            <w:tcW w:w="4252" w:type="dxa"/>
            <w:tcMar/>
            <w:vAlign w:val="center"/>
          </w:tcPr>
          <w:p w:rsidRPr="00DD5A39" w:rsidR="008D1481" w:rsidRDefault="008F6985" w14:paraId="5734E79A" w14:textId="74AACF8B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8D1481" w:rsidRDefault="008D1481" w14:paraId="23A5D57D" w14:textId="77777777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Pr="00DD5A39" w:rsidR="00417542" w:rsidTr="690501B0" w14:paraId="0C047D1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7AF4F47F" w14:textId="75291636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</w:tcPr>
          <w:p w:rsidRPr="00983253" w:rsidR="00417542" w:rsidP="00983253" w:rsidRDefault="00417542" w14:paraId="2254B69B" w14:textId="1400A83A">
            <w:pPr>
              <w:spacing w:line="276" w:lineRule="auto"/>
              <w:rPr>
                <w:rFonts w:asciiTheme="majorHAnsi" w:hAnsiTheme="majorHAnsi" w:cstheme="majorHAnsi"/>
                <w:color w:val="EE0000"/>
                <w:sz w:val="24"/>
              </w:rPr>
            </w:pPr>
            <w:r w:rsidRPr="006B150B">
              <w:rPr>
                <w:rFonts w:asciiTheme="majorHAnsi" w:hAnsiTheme="majorHAnsi" w:cstheme="majorHAnsi"/>
                <w:sz w:val="24"/>
              </w:rPr>
              <w:t xml:space="preserve">Regulowana czułość detektora powietrza min. 6 stopni. Wielkość pęcherzyków 15/ 50/ 100/ 250/ 500/ 800 </w:t>
            </w:r>
            <w:proofErr w:type="spellStart"/>
            <w:r w:rsidRPr="006B150B">
              <w:rPr>
                <w:rFonts w:asciiTheme="majorHAnsi" w:hAnsiTheme="majorHAnsi" w:cstheme="majorHAnsi"/>
                <w:sz w:val="24"/>
              </w:rPr>
              <w:t>uL</w:t>
            </w:r>
            <w:proofErr w:type="spellEnd"/>
            <w:r w:rsidRPr="006B150B" w:rsidR="00983253">
              <w:rPr>
                <w:rFonts w:asciiTheme="majorHAnsi" w:hAnsiTheme="majorHAnsi" w:cstheme="majorHAnsi"/>
                <w:strike/>
                <w:sz w:val="24"/>
              </w:rPr>
              <w:t xml:space="preserve"> </w:t>
            </w:r>
            <w:r w:rsidRPr="006B150B" w:rsidR="00983253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tcMar/>
            <w:vAlign w:val="center"/>
          </w:tcPr>
          <w:p w:rsidRPr="00DD5A39" w:rsidR="00417542" w:rsidP="00417542" w:rsidRDefault="008F6985" w14:paraId="26EE2590" w14:textId="4BC80810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1923C335" w14:textId="77777777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Pr="00DD5A39" w:rsidR="00417542" w:rsidTr="690501B0" w14:paraId="73AA897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233F4448" w14:textId="44461273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983253" w:rsidR="00417542" w:rsidP="00417542" w:rsidRDefault="00417542" w14:paraId="4D2B33BB" w14:textId="50F90677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6B150B">
              <w:rPr>
                <w:rFonts w:asciiTheme="majorHAnsi" w:hAnsiTheme="majorHAnsi" w:cstheme="majorHAnsi"/>
                <w:sz w:val="24"/>
              </w:rPr>
              <w:t>Wielkość skumulowana w czasie 15 min programowana od 0,1 do 1,0 ml</w:t>
            </w:r>
            <w:r w:rsidRPr="006B150B" w:rsidR="00983253">
              <w:rPr>
                <w:rFonts w:asciiTheme="majorHAnsi" w:hAnsiTheme="majorHAnsi" w:cstheme="majorHAnsi"/>
                <w:sz w:val="24"/>
              </w:rPr>
              <w:t xml:space="preserve"> </w:t>
            </w:r>
            <w:r w:rsidRPr="006B150B" w:rsidR="00610A57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tcMar/>
            <w:vAlign w:val="center"/>
          </w:tcPr>
          <w:p w:rsidRPr="00DD5A39" w:rsidR="00417542" w:rsidP="00417542" w:rsidRDefault="008F6985" w14:paraId="0D6C61E8" w14:textId="5B24B8DD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11F4B403" w14:textId="77777777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Pr="00DD5A39" w:rsidR="00417542" w:rsidTr="690501B0" w14:paraId="632387B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70679049" w14:textId="4F3E90EE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0864C2" w:rsidR="00417542" w:rsidP="00417542" w:rsidRDefault="00417542" w14:paraId="50173170" w14:textId="7C79DBB8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0864C2">
              <w:rPr>
                <w:rFonts w:asciiTheme="majorHAnsi" w:hAnsiTheme="majorHAnsi" w:cstheme="majorHAnsi"/>
                <w:sz w:val="24"/>
              </w:rPr>
              <w:t>Dokładność szybkości dozowania  +/- 4,5% (dla dedykowanych drenów)</w:t>
            </w:r>
            <w:r w:rsidR="00983253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tcMar/>
            <w:vAlign w:val="center"/>
          </w:tcPr>
          <w:p w:rsidRPr="00DD5A39" w:rsidR="00417542" w:rsidP="00417542" w:rsidRDefault="008F6985" w14:paraId="24D06557" w14:textId="666FC355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69CC714D" w14:textId="77777777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Pr="00DD5A39" w:rsidR="00417542" w:rsidTr="690501B0" w14:paraId="33A01EF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651B45A9" w14:textId="2E4ADB6B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0864C2" w:rsidR="00417542" w:rsidP="00417542" w:rsidRDefault="00417542" w14:paraId="624C42BA" w14:textId="69EF0F89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0864C2">
              <w:rPr>
                <w:rFonts w:asciiTheme="majorHAnsi" w:hAnsiTheme="majorHAnsi" w:cstheme="majorHAnsi"/>
                <w:sz w:val="24"/>
              </w:rPr>
              <w:t>Szybkość dozowania: minimum w zakresie 0,1-2200 ml/h</w:t>
            </w:r>
            <w:r w:rsidR="00610A57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tcMar/>
            <w:vAlign w:val="center"/>
          </w:tcPr>
          <w:p w:rsidRPr="00DD5A39" w:rsidR="00417542" w:rsidP="00417542" w:rsidRDefault="008F6985" w14:paraId="22A8CDB6" w14:textId="567787F2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40E8876C" w14:textId="77777777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Pr="00DD5A39" w:rsidR="00417542" w:rsidTr="690501B0" w14:paraId="3122640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20CFBBD3" w14:textId="08D0735D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0864C2" w:rsidR="00417542" w:rsidP="00417542" w:rsidRDefault="00417542" w14:paraId="5C6550F0" w14:textId="1333F7FA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0864C2">
              <w:rPr>
                <w:rFonts w:asciiTheme="majorHAnsi" w:hAnsiTheme="majorHAnsi" w:cstheme="majorHAnsi"/>
                <w:sz w:val="24"/>
              </w:rPr>
              <w:t xml:space="preserve">Szybkość bolusa programowana minimum </w:t>
            </w:r>
            <w:r w:rsidR="000864C2">
              <w:rPr>
                <w:rFonts w:asciiTheme="majorHAnsi" w:hAnsiTheme="majorHAnsi" w:cstheme="majorHAnsi"/>
                <w:sz w:val="24"/>
              </w:rPr>
              <w:br/>
            </w:r>
            <w:r w:rsidRPr="000864C2">
              <w:rPr>
                <w:rFonts w:asciiTheme="majorHAnsi" w:hAnsiTheme="majorHAnsi" w:cstheme="majorHAnsi"/>
                <w:sz w:val="24"/>
              </w:rPr>
              <w:t>w zakresie 0,1-2200 ml/h.</w:t>
            </w:r>
            <w:r w:rsidR="00610A57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tcMar/>
            <w:vAlign w:val="center"/>
          </w:tcPr>
          <w:p w:rsidRPr="00DD5A39" w:rsidR="00417542" w:rsidP="00417542" w:rsidRDefault="008F6985" w14:paraId="35DEE560" w14:textId="25325057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431253B7" w14:textId="77777777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Pr="00DD5A39" w:rsidR="00417542" w:rsidTr="690501B0" w14:paraId="077C35A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18B0FA0A" w14:textId="3FE661F2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0864C2" w:rsidR="00417542" w:rsidP="00417542" w:rsidRDefault="00417542" w14:paraId="58750C87" w14:textId="7775A8EE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0864C2">
              <w:rPr>
                <w:rFonts w:asciiTheme="majorHAnsi" w:hAnsiTheme="majorHAnsi" w:cstheme="majorHAnsi"/>
                <w:sz w:val="24"/>
              </w:rPr>
              <w:t>Możliwość podaży bolusa w jednostkach: ml.</w:t>
            </w:r>
          </w:p>
        </w:tc>
        <w:tc>
          <w:tcPr>
            <w:tcW w:w="4252" w:type="dxa"/>
            <w:tcMar/>
            <w:vAlign w:val="center"/>
          </w:tcPr>
          <w:p w:rsidRPr="00DD5A39" w:rsidR="00417542" w:rsidP="00417542" w:rsidRDefault="008F6985" w14:paraId="1D6E7F0C" w14:textId="348190F1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330CA755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17542" w:rsidTr="690501B0" w14:paraId="6E30364E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77CEE0BA" w14:textId="04484C5F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0864C2" w:rsidR="00417542" w:rsidP="00417542" w:rsidRDefault="00417542" w14:paraId="569042B2" w14:textId="4BBCF94D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0864C2">
              <w:rPr>
                <w:rFonts w:asciiTheme="majorHAnsi" w:hAnsiTheme="majorHAnsi" w:cstheme="majorHAnsi"/>
                <w:sz w:val="24"/>
              </w:rPr>
              <w:t>Pompa inicjuje automatycznie redukcję bolusa po zresetowaniu alarmu okluzji</w:t>
            </w:r>
            <w:r w:rsidR="00E921CF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tcMar/>
            <w:vAlign w:val="center"/>
          </w:tcPr>
          <w:p w:rsidRPr="00DD5A39" w:rsidR="00417542" w:rsidP="00417542" w:rsidRDefault="008F6985" w14:paraId="775B7BB4" w14:textId="0238A52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0BA5AED1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17542" w:rsidTr="690501B0" w14:paraId="247C1321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6667D869" w14:textId="64A6889D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</w:tcPr>
          <w:p w:rsidRPr="00B92F3A" w:rsidR="00417542" w:rsidP="00417542" w:rsidRDefault="00417542" w14:paraId="38E61A59" w14:textId="0F2BE95E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Zmiana prędkości, prędkości dawkowania lub nazwy leku bez zatrzymywania infuzji.</w:t>
            </w:r>
          </w:p>
        </w:tc>
        <w:tc>
          <w:tcPr>
            <w:tcW w:w="4252" w:type="dxa"/>
            <w:tcMar/>
            <w:vAlign w:val="center"/>
          </w:tcPr>
          <w:p w:rsidRPr="00DD5A39" w:rsidR="00417542" w:rsidP="00417542" w:rsidRDefault="008F6985" w14:paraId="6E8D98E1" w14:textId="5DEED731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492ED3B1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17542" w:rsidTr="690501B0" w14:paraId="573580F1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6484AFAD" w14:textId="63D3E066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417542" w:rsidP="00417542" w:rsidRDefault="00417542" w14:paraId="51546753" w14:textId="1A87F28A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Wykrywanie okluzji górnej (pojemnik/ pompa) oraz okluzji dolnej (pompa/pacjent)</w:t>
            </w:r>
          </w:p>
        </w:tc>
        <w:tc>
          <w:tcPr>
            <w:tcW w:w="4252" w:type="dxa"/>
            <w:tcMar/>
            <w:vAlign w:val="center"/>
          </w:tcPr>
          <w:p w:rsidR="00417542" w:rsidP="00417542" w:rsidRDefault="008F6985" w14:paraId="2E0CAF13" w14:textId="242E23B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37A5302A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17542" w:rsidTr="690501B0" w14:paraId="423A1CF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0FFF0B78" w14:textId="5254A27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417542" w:rsidP="00417542" w:rsidRDefault="00417542" w14:paraId="4667BDF4" w14:textId="2BB4E3C1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Regulowane progi ciśnienia  w zakresie min. od 50 do 1100 mm Hg</w:t>
            </w:r>
            <w:r w:rsidRPr="00B92F3A" w:rsidR="00E921CF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tcMar/>
            <w:vAlign w:val="center"/>
          </w:tcPr>
          <w:p w:rsidR="00417542" w:rsidP="00417542" w:rsidRDefault="008F6985" w14:paraId="14EF1ECC" w14:textId="46D5DFA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347D33D4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17542" w:rsidTr="690501B0" w14:paraId="4E10A5F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606146E3" w14:textId="13E8866C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417542" w:rsidP="00417542" w:rsidRDefault="00417542" w14:paraId="0EE962C9" w14:textId="623CBC39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 xml:space="preserve">Możliwość wyboru min. </w:t>
            </w:r>
            <w:r w:rsidRPr="00B92F3A" w:rsidR="00E921CF">
              <w:rPr>
                <w:rFonts w:asciiTheme="majorHAnsi" w:hAnsiTheme="majorHAnsi" w:cstheme="majorHAnsi"/>
                <w:sz w:val="24"/>
              </w:rPr>
              <w:t xml:space="preserve">4 </w:t>
            </w:r>
            <w:r w:rsidRPr="00B92F3A">
              <w:rPr>
                <w:rFonts w:asciiTheme="majorHAnsi" w:hAnsiTheme="majorHAnsi" w:cstheme="majorHAnsi"/>
                <w:sz w:val="24"/>
              </w:rPr>
              <w:t xml:space="preserve"> jednostek ciśnienia: mmHg/</w:t>
            </w:r>
            <w:proofErr w:type="spellStart"/>
            <w:r w:rsidRPr="00B92F3A">
              <w:rPr>
                <w:rFonts w:asciiTheme="majorHAnsi" w:hAnsiTheme="majorHAnsi" w:cstheme="majorHAnsi"/>
                <w:sz w:val="24"/>
              </w:rPr>
              <w:t>kPa</w:t>
            </w:r>
            <w:proofErr w:type="spellEnd"/>
            <w:r w:rsidRPr="00B92F3A">
              <w:rPr>
                <w:rFonts w:asciiTheme="majorHAnsi" w:hAnsiTheme="majorHAnsi" w:cstheme="majorHAnsi"/>
                <w:sz w:val="24"/>
              </w:rPr>
              <w:t>/bar/psi</w:t>
            </w:r>
            <w:r w:rsidRPr="00B92F3A" w:rsidR="00E921CF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tcMar/>
            <w:vAlign w:val="center"/>
          </w:tcPr>
          <w:p w:rsidR="00417542" w:rsidP="00417542" w:rsidRDefault="008F6985" w14:paraId="2A7F7736" w14:textId="33EA138E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770D2350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17542" w:rsidTr="690501B0" w14:paraId="754EB16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09ADC79E" w14:textId="5A7987A4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417542" w:rsidP="00417542" w:rsidRDefault="00417542" w14:paraId="6ACF9E16" w14:textId="5BEFD46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 xml:space="preserve">Tryb </w:t>
            </w:r>
            <w:proofErr w:type="spellStart"/>
            <w:r w:rsidRPr="00B92F3A">
              <w:rPr>
                <w:rFonts w:asciiTheme="majorHAnsi" w:hAnsiTheme="majorHAnsi" w:cstheme="majorHAnsi"/>
                <w:sz w:val="24"/>
              </w:rPr>
              <w:t>mikro</w:t>
            </w:r>
            <w:r w:rsidRPr="00B92F3A" w:rsidR="003F0F21">
              <w:rPr>
                <w:rFonts w:asciiTheme="majorHAnsi" w:hAnsiTheme="majorHAnsi" w:cstheme="majorHAnsi"/>
                <w:sz w:val="24"/>
              </w:rPr>
              <w:t>i</w:t>
            </w:r>
            <w:r w:rsidRPr="00B92F3A">
              <w:rPr>
                <w:rFonts w:asciiTheme="majorHAnsi" w:hAnsiTheme="majorHAnsi" w:cstheme="majorHAnsi"/>
                <w:sz w:val="24"/>
              </w:rPr>
              <w:t>nfuzji</w:t>
            </w:r>
            <w:proofErr w:type="spellEnd"/>
            <w:r w:rsidRPr="00B92F3A">
              <w:rPr>
                <w:rFonts w:asciiTheme="majorHAnsi" w:hAnsiTheme="majorHAnsi" w:cstheme="majorHAnsi"/>
                <w:color w:val="EE0000"/>
                <w:sz w:val="24"/>
              </w:rPr>
              <w:t xml:space="preserve"> </w:t>
            </w:r>
            <w:r w:rsidRPr="00B92F3A">
              <w:rPr>
                <w:rFonts w:asciiTheme="majorHAnsi" w:hAnsiTheme="majorHAnsi" w:cstheme="majorHAnsi"/>
                <w:sz w:val="24"/>
              </w:rPr>
              <w:t>z możliwością ustawienia zakresu prędkości od 0,1 ml/h do 100 ml/h</w:t>
            </w:r>
            <w:r w:rsidRPr="00B92F3A" w:rsidR="00D85C31">
              <w:rPr>
                <w:rFonts w:asciiTheme="majorHAnsi" w:hAnsiTheme="majorHAnsi" w:cstheme="majorHAnsi"/>
                <w:sz w:val="24"/>
              </w:rPr>
              <w:t xml:space="preserve">  </w:t>
            </w:r>
          </w:p>
        </w:tc>
        <w:tc>
          <w:tcPr>
            <w:tcW w:w="4252" w:type="dxa"/>
            <w:tcMar/>
            <w:vAlign w:val="center"/>
          </w:tcPr>
          <w:p w:rsidR="00417542" w:rsidP="00417542" w:rsidRDefault="008F6985" w14:paraId="39F099D8" w14:textId="59975FF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5E4AC404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17542" w:rsidTr="690501B0" w14:paraId="384C0D67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2B3B8203" w14:textId="03559771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417542" w:rsidP="00417542" w:rsidRDefault="00417542" w14:paraId="24F77ACB" w14:textId="47A531DD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Czas pracy z akumulatora minimum 5 h przy infuzji 5ml/h.</w:t>
            </w:r>
          </w:p>
        </w:tc>
        <w:tc>
          <w:tcPr>
            <w:tcW w:w="4252" w:type="dxa"/>
            <w:tcMar/>
            <w:vAlign w:val="center"/>
          </w:tcPr>
          <w:p w:rsidR="00417542" w:rsidP="00417542" w:rsidRDefault="008F6985" w14:paraId="452E7F15" w14:textId="02BA6B3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23CE3175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17542" w:rsidTr="690501B0" w14:paraId="1647BF3B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17542" w:rsidP="00573380" w:rsidRDefault="00417542" w14:paraId="578404DB" w14:textId="059F7D02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417542" w:rsidP="00417542" w:rsidRDefault="00417542" w14:paraId="7EBB21DE" w14:textId="3B7A8260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 xml:space="preserve">Pompa posiada funkcję </w:t>
            </w:r>
            <w:r w:rsidRPr="00B92F3A" w:rsidR="00D85C31">
              <w:rPr>
                <w:rFonts w:asciiTheme="majorHAnsi" w:hAnsiTheme="majorHAnsi" w:cstheme="majorHAnsi"/>
                <w:sz w:val="24"/>
              </w:rPr>
              <w:t xml:space="preserve">ręcznego lub </w:t>
            </w:r>
            <w:r w:rsidRPr="00B92F3A">
              <w:rPr>
                <w:rFonts w:asciiTheme="majorHAnsi" w:hAnsiTheme="majorHAnsi" w:cstheme="majorHAnsi"/>
                <w:sz w:val="24"/>
              </w:rPr>
              <w:t>automatycznego blokowania klawiatury</w:t>
            </w:r>
            <w:r w:rsidRPr="00B92F3A" w:rsidR="00D85C31">
              <w:rPr>
                <w:rFonts w:asciiTheme="majorHAnsi" w:hAnsiTheme="majorHAnsi" w:cstheme="majorHAnsi"/>
                <w:sz w:val="24"/>
              </w:rPr>
              <w:t xml:space="preserve">. </w:t>
            </w:r>
            <w:r w:rsidRPr="00B92F3A">
              <w:rPr>
                <w:rFonts w:asciiTheme="majorHAnsi" w:hAnsiTheme="majorHAnsi" w:cstheme="majorHAnsi"/>
                <w:sz w:val="24"/>
              </w:rPr>
              <w:t>- blokada następuje po upływie zaprogramowanego czasu: 15 s, 30 s, 1 min, 2 min, 3 min, 4 min, 5 min.</w:t>
            </w:r>
          </w:p>
        </w:tc>
        <w:tc>
          <w:tcPr>
            <w:tcW w:w="4252" w:type="dxa"/>
            <w:tcMar/>
            <w:vAlign w:val="center"/>
          </w:tcPr>
          <w:p w:rsidR="00417542" w:rsidP="00417542" w:rsidRDefault="008F6985" w14:paraId="6C0F3975" w14:textId="15E01BC0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17542" w:rsidP="00417542" w:rsidRDefault="00417542" w14:paraId="1F1C286E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FB3A95" w:rsidTr="690501B0" w14:paraId="0C60DA9E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FB3A95" w:rsidP="00573380" w:rsidRDefault="00FB3A95" w14:paraId="18EF87A8" w14:textId="528B569F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FB3A95" w:rsidP="00417542" w:rsidRDefault="00142244" w14:paraId="3833ED88" w14:textId="10BC1ECD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Aktualizacja oprogramowania urządzenia oraz importu biblioteki leków bezpośrednio z pamięci USB, bez konieczności użycia komputera lub dodatkowego oprogramowania.</w:t>
            </w:r>
          </w:p>
        </w:tc>
        <w:tc>
          <w:tcPr>
            <w:tcW w:w="4252" w:type="dxa"/>
            <w:tcMar/>
            <w:vAlign w:val="center"/>
          </w:tcPr>
          <w:p w:rsidR="00FB3A95" w:rsidP="690501B0" w:rsidRDefault="00142244" w14:paraId="3B2C4868" w14:textId="4C057613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90501B0" w:rsidR="7E87E819">
              <w:rPr>
                <w:rFonts w:ascii="Calibri Light" w:hAnsi="Calibri Light" w:cs="Calibri Light" w:asciiTheme="majorAscii" w:hAnsiTheme="majorAscii" w:cstheme="majorAsci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FB3A95" w:rsidP="00417542" w:rsidRDefault="00FB3A95" w14:paraId="2CE29AFE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142244" w:rsidTr="690501B0" w14:paraId="091CE07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142244" w:rsidP="00573380" w:rsidRDefault="00142244" w14:paraId="1FA7D402" w14:textId="4686E1A3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142244" w:rsidP="00417542" w:rsidRDefault="00CF617B" w14:paraId="047D15E4" w14:textId="538E2D8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Historia zdarzeń dostępna bezpośrednio z pompy – rejestr</w:t>
            </w:r>
            <w:r w:rsidRPr="00B92F3A" w:rsidR="004E27D5">
              <w:rPr>
                <w:rFonts w:asciiTheme="majorHAnsi" w:hAnsiTheme="majorHAnsi" w:cstheme="majorHAnsi"/>
                <w:sz w:val="24"/>
              </w:rPr>
              <w:t xml:space="preserve"> </w:t>
            </w:r>
            <w:r w:rsidRPr="00B92F3A">
              <w:rPr>
                <w:rFonts w:asciiTheme="majorHAnsi" w:hAnsiTheme="majorHAnsi" w:cstheme="majorHAnsi"/>
                <w:sz w:val="24"/>
              </w:rPr>
              <w:t>3</w:t>
            </w:r>
            <w:r w:rsidRPr="00B92F3A" w:rsidR="004E27D5">
              <w:rPr>
                <w:rFonts w:asciiTheme="majorHAnsi" w:hAnsiTheme="majorHAnsi" w:cstheme="majorHAnsi"/>
                <w:sz w:val="24"/>
              </w:rPr>
              <w:t>5</w:t>
            </w:r>
            <w:r w:rsidRPr="00B92F3A">
              <w:rPr>
                <w:rFonts w:asciiTheme="majorHAnsi" w:hAnsiTheme="majorHAnsi" w:cstheme="majorHAnsi"/>
                <w:sz w:val="24"/>
              </w:rPr>
              <w:t>00 zdarzeń z datą i godziną zdarzenia z zapisem każdej czynności wykonywanej na pompie.</w:t>
            </w:r>
          </w:p>
        </w:tc>
        <w:tc>
          <w:tcPr>
            <w:tcW w:w="4252" w:type="dxa"/>
            <w:tcMar/>
            <w:vAlign w:val="center"/>
          </w:tcPr>
          <w:p w:rsidRPr="00142244" w:rsidR="00142244" w:rsidP="00142244" w:rsidRDefault="002276DB" w14:paraId="4DBD720B" w14:textId="23F9244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142244" w:rsidP="00417542" w:rsidRDefault="00142244" w14:paraId="77CCDBE5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CF617B" w:rsidTr="690501B0" w14:paraId="02FBA67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CF617B" w:rsidP="00573380" w:rsidRDefault="00CF617B" w14:paraId="78E505A6" w14:textId="3F8AF5D1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CF617B" w:rsidP="00417542" w:rsidRDefault="002276DB" w14:paraId="05169770" w14:textId="5FEFDFE4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Kolorowy dotykowy wyświetlacz dotykowy LCD o przekątnej min</w:t>
            </w:r>
            <w:r w:rsidRPr="00B92F3A" w:rsidR="000A4A94">
              <w:rPr>
                <w:rFonts w:asciiTheme="majorHAnsi" w:hAnsiTheme="majorHAnsi" w:cstheme="majorHAnsi"/>
                <w:sz w:val="24"/>
              </w:rPr>
              <w:t xml:space="preserve">. </w:t>
            </w:r>
            <w:r w:rsidRPr="00B92F3A">
              <w:rPr>
                <w:rFonts w:asciiTheme="majorHAnsi" w:hAnsiTheme="majorHAnsi" w:cstheme="majorHAnsi"/>
                <w:sz w:val="24"/>
              </w:rPr>
              <w:t>3</w:t>
            </w:r>
            <w:r w:rsidRPr="00B92F3A" w:rsidR="00D20992">
              <w:rPr>
                <w:rFonts w:asciiTheme="majorHAnsi" w:hAnsiTheme="majorHAnsi" w:cstheme="majorHAnsi"/>
                <w:sz w:val="24"/>
              </w:rPr>
              <w:t>,5</w:t>
            </w:r>
            <w:r w:rsidRPr="00B92F3A">
              <w:rPr>
                <w:rFonts w:asciiTheme="majorHAnsi" w:hAnsiTheme="majorHAnsi" w:cstheme="majorHAnsi"/>
                <w:sz w:val="24"/>
              </w:rPr>
              <w:t>";</w:t>
            </w:r>
          </w:p>
        </w:tc>
        <w:tc>
          <w:tcPr>
            <w:tcW w:w="4252" w:type="dxa"/>
            <w:tcMar/>
            <w:vAlign w:val="center"/>
          </w:tcPr>
          <w:p w:rsidRPr="00142244" w:rsidR="00CF617B" w:rsidP="00142244" w:rsidRDefault="002276DB" w14:paraId="4EBC46FA" w14:textId="533A9D1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CF617B" w:rsidP="00417542" w:rsidRDefault="00CF617B" w14:paraId="27FBD3DE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950D0" w:rsidTr="690501B0" w14:paraId="7039E73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950D0" w:rsidP="00573380" w:rsidRDefault="004950D0" w14:paraId="056C416E" w14:textId="51053754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4950D0" w:rsidP="00417542" w:rsidRDefault="004950D0" w14:paraId="2516C58C" w14:textId="7043E87C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Pompa wyposażona w port USB pozwalający na import/eksport danych.</w:t>
            </w:r>
          </w:p>
        </w:tc>
        <w:tc>
          <w:tcPr>
            <w:tcW w:w="4252" w:type="dxa"/>
            <w:tcMar/>
            <w:vAlign w:val="center"/>
          </w:tcPr>
          <w:p w:rsidRPr="00142244" w:rsidR="004950D0" w:rsidP="690501B0" w:rsidRDefault="002276DB" w14:paraId="75A54241" w14:textId="32185BE0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90501B0" w:rsidR="097BF51E">
              <w:rPr>
                <w:rFonts w:ascii="Calibri Light" w:hAnsi="Calibri Light" w:cs="Calibri Light" w:asciiTheme="majorAscii" w:hAnsiTheme="majorAscii" w:cstheme="majorAsci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950D0" w:rsidP="00417542" w:rsidRDefault="004950D0" w14:paraId="5FEBB2DE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4950D0" w:rsidTr="690501B0" w14:paraId="01F0BAE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4950D0" w:rsidP="00573380" w:rsidRDefault="004950D0" w14:paraId="7BC41151" w14:textId="50287AA4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4950D0" w:rsidP="00417542" w:rsidRDefault="004950D0" w14:paraId="2BD942B1" w14:textId="3B27751C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Komunikacja pomp ze stacją za pośrednictwem wielofunkcyjnego portu RS232.</w:t>
            </w:r>
          </w:p>
        </w:tc>
        <w:tc>
          <w:tcPr>
            <w:tcW w:w="4252" w:type="dxa"/>
            <w:tcMar/>
            <w:vAlign w:val="center"/>
          </w:tcPr>
          <w:p w:rsidRPr="00142244" w:rsidR="004950D0" w:rsidP="00142244" w:rsidRDefault="005D166B" w14:paraId="48E05A4A" w14:textId="7EB6A4A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4950D0" w:rsidP="00417542" w:rsidRDefault="004950D0" w14:paraId="61F4A87D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5D166B" w:rsidTr="690501B0" w14:paraId="7F17483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573380" w:rsidR="005D166B" w:rsidP="00573380" w:rsidRDefault="005D166B" w14:paraId="14EC54AB" w14:textId="3BF5B959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5D166B" w:rsidP="00417542" w:rsidRDefault="005D166B" w14:paraId="4978E2E9" w14:textId="472527C5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Pompa wyposażona w tryb kroplowy umożliwiający ustawienie prędkości, czasu lub VTBI z automatycznym przeliczeniem pozostałego parametru, w zakresie 1–400 kropli/min.</w:t>
            </w:r>
          </w:p>
        </w:tc>
        <w:tc>
          <w:tcPr>
            <w:tcW w:w="4252" w:type="dxa"/>
            <w:tcMar/>
            <w:vAlign w:val="center"/>
          </w:tcPr>
          <w:p w:rsidRPr="00142244" w:rsidR="005D166B" w:rsidP="00142244" w:rsidRDefault="005D166B" w14:paraId="3DA5E6BA" w14:textId="197F42B3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5D166B" w:rsidP="00417542" w:rsidRDefault="005D166B" w14:paraId="20913E7F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E87124" w:rsidTr="690501B0" w14:paraId="1C5064F2" w14:textId="77777777">
        <w:trPr>
          <w:trHeight w:val="274"/>
          <w:jc w:val="center"/>
        </w:trPr>
        <w:tc>
          <w:tcPr>
            <w:tcW w:w="664" w:type="dxa"/>
            <w:tcMar/>
            <w:vAlign w:val="center"/>
          </w:tcPr>
          <w:p w:rsidRPr="00573380" w:rsidR="00E87124" w:rsidP="00573380" w:rsidRDefault="00E87124" w14:paraId="394ED556" w14:textId="5CD46804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E87124" w:rsidP="00417542" w:rsidRDefault="000A4A94" w14:paraId="205B1C36" w14:textId="4B26B2ED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Pompa posiada płynną regulację progu ciśnienia okluzji w jednostkach mm Hg w zakresie min. 50–1100 mm Hg, z możliwością zmiany wartości bezpośrednio z poziomu jednego menu, bez stosowania skokowych poziomów, z prezentacją ciśnienia w czasie rzeczywistym w formie numerycznej i graficznej oraz z funkcją wczesnego ostrzegania o narastającym ciśnieniu przed osiągnięciem progu alarmowego.</w:t>
            </w:r>
          </w:p>
        </w:tc>
        <w:tc>
          <w:tcPr>
            <w:tcW w:w="4252" w:type="dxa"/>
            <w:tcMar/>
            <w:vAlign w:val="center"/>
          </w:tcPr>
          <w:p w:rsidR="00E87124" w:rsidP="00142244" w:rsidRDefault="00E87124" w14:paraId="62560088" w14:textId="07BB6078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E87124" w:rsidP="00417542" w:rsidRDefault="00E87124" w14:paraId="185F5519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B92F3A" w:rsidTr="690501B0" w14:paraId="3BB0158E" w14:textId="77777777">
        <w:trPr>
          <w:trHeight w:val="274"/>
          <w:jc w:val="center"/>
        </w:trPr>
        <w:tc>
          <w:tcPr>
            <w:tcW w:w="664" w:type="dxa"/>
            <w:tcMar/>
            <w:vAlign w:val="center"/>
          </w:tcPr>
          <w:p w:rsidRPr="00573380" w:rsidR="00B92F3A" w:rsidP="00573380" w:rsidRDefault="00B92F3A" w14:paraId="2842E71C" w14:textId="5BA755BE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tcMar/>
            <w:vAlign w:val="center"/>
          </w:tcPr>
          <w:p w:rsidRPr="00B92F3A" w:rsidR="00B92F3A" w:rsidP="00B92F3A" w:rsidRDefault="00B92F3A" w14:paraId="70A02B76" w14:textId="3C56FFF0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Możliwość przyszłej integracji z centralnym systemem monitorowania oraz monitorem pacjenta bez używania dodatkowych modułów integracyjnych.</w:t>
            </w:r>
          </w:p>
          <w:p w:rsidRPr="00B92F3A" w:rsidR="00B92F3A" w:rsidP="00B92F3A" w:rsidRDefault="00B92F3A" w14:paraId="3D737E1A" w14:textId="5F5C3D15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Po połączeniu z centralnym systemem monitorowania dostępne funkcje:</w:t>
            </w:r>
          </w:p>
          <w:p w:rsidRPr="00B92F3A" w:rsidR="00B92F3A" w:rsidP="00B92F3A" w:rsidRDefault="00B92F3A" w14:paraId="12B98FED" w14:textId="77777777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Przesyłanie do systemu CMS informacji o infuzji, alarmach oraz statusie urządzeń (np. akumulator, urządzenia sieciowe).</w:t>
            </w:r>
          </w:p>
          <w:p w:rsidRPr="00B92F3A" w:rsidR="00B92F3A" w:rsidP="00B92F3A" w:rsidRDefault="00B92F3A" w14:paraId="73D340D3" w14:textId="77777777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Synchronizacja informacji o pacjencie między pompą a systemem CMS.</w:t>
            </w:r>
          </w:p>
          <w:p w:rsidRPr="00B92F3A" w:rsidR="00B92F3A" w:rsidP="00B92F3A" w:rsidRDefault="00B92F3A" w14:paraId="29A8D90B" w14:textId="0A6AD4AB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B92F3A">
              <w:rPr>
                <w:rFonts w:asciiTheme="majorHAnsi" w:hAnsiTheme="majorHAnsi" w:cstheme="majorHAnsi"/>
                <w:sz w:val="24"/>
              </w:rPr>
              <w:t>Możliwość przyjęcia lub wypisania pacjenta w systemie CMS, z automatycznym przesyłaniem odpowiednich informacji do pompy.</w:t>
            </w:r>
          </w:p>
        </w:tc>
        <w:tc>
          <w:tcPr>
            <w:tcW w:w="4252" w:type="dxa"/>
            <w:tcMar/>
            <w:vAlign w:val="center"/>
          </w:tcPr>
          <w:p w:rsidRPr="00B92F3A" w:rsidR="00B92F3A" w:rsidP="690501B0" w:rsidRDefault="00B92F3A" w14:paraId="4D9B337E" w14:textId="3B0E9DA5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90501B0" w:rsidR="434F32D9">
              <w:rPr>
                <w:rFonts w:ascii="Calibri Light" w:hAnsi="Calibri Light" w:cs="Calibri Light" w:asciiTheme="majorAscii" w:hAnsiTheme="majorAscii" w:cstheme="majorAscii"/>
                <w:sz w:val="24"/>
                <w:szCs w:val="24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D5A39" w:rsidR="00B92F3A" w:rsidP="00417542" w:rsidRDefault="00B92F3A" w14:paraId="561340F7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Pr="00DD5A39" w:rsidR="006A431E" w:rsidP="00841B6C" w:rsidRDefault="006A431E" w14:paraId="427CF792" w14:textId="77777777">
      <w:pPr>
        <w:rPr>
          <w:rFonts w:asciiTheme="majorHAnsi" w:hAnsiTheme="majorHAnsi" w:cstheme="majorHAnsi"/>
        </w:rPr>
      </w:pPr>
    </w:p>
    <w:p w:rsidRPr="00DD5A39" w:rsidR="00141BD7" w:rsidP="00841B6C" w:rsidRDefault="00141BD7" w14:paraId="4F327EDE" w14:textId="77777777">
      <w:pPr>
        <w:rPr>
          <w:rFonts w:asciiTheme="majorHAnsi" w:hAnsiTheme="majorHAnsi" w:cstheme="majorHAnsi"/>
        </w:rPr>
      </w:pPr>
    </w:p>
    <w:p w:rsidR="00141BD7" w:rsidP="00841B6C" w:rsidRDefault="00141BD7" w14:paraId="5F39FAE4" w14:textId="77777777">
      <w:pPr>
        <w:rPr>
          <w:rFonts w:asciiTheme="majorHAnsi" w:hAnsiTheme="majorHAnsi" w:cstheme="majorHAnsi"/>
        </w:rPr>
      </w:pPr>
    </w:p>
    <w:p w:rsidRPr="00DD5A39" w:rsidR="00DD5A39" w:rsidP="00841B6C" w:rsidRDefault="00DD5A39" w14:paraId="4E5ADA6A" w14:textId="77777777">
      <w:pPr>
        <w:rPr>
          <w:rFonts w:asciiTheme="majorHAnsi" w:hAnsiTheme="majorHAnsi" w:cstheme="majorHAnsi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Pr="00573380" w:rsidR="00D72DE1" w:rsidTr="000311E1" w14:paraId="766C46B4" w14:textId="77777777">
        <w:trPr>
          <w:trHeight w:val="274"/>
          <w:jc w:val="center"/>
        </w:trPr>
        <w:tc>
          <w:tcPr>
            <w:tcW w:w="14029" w:type="dxa"/>
            <w:gridSpan w:val="4"/>
            <w:vAlign w:val="center"/>
          </w:tcPr>
          <w:p w:rsidRPr="00573380" w:rsidR="00D72DE1" w:rsidP="00D72DE1" w:rsidRDefault="00573380" w14:paraId="34D55009" w14:textId="075C0CA6">
            <w:pPr>
              <w:rPr>
                <w:rFonts w:asciiTheme="majorHAnsi" w:hAnsiTheme="majorHAnsi" w:cstheme="majorHAnsi"/>
                <w:b/>
                <w:bCs/>
              </w:rPr>
            </w:pPr>
            <w:r w:rsidRPr="00573380">
              <w:rPr>
                <w:rFonts w:asciiTheme="majorHAnsi" w:hAnsiTheme="majorHAnsi" w:cstheme="majorHAnsi"/>
                <w:b/>
                <w:bCs/>
              </w:rPr>
              <w:t>Pozostałe</w:t>
            </w:r>
          </w:p>
        </w:tc>
      </w:tr>
      <w:tr w:rsidRPr="00DD5A39" w:rsidR="00D72DE1" w:rsidTr="00F4657B" w14:paraId="4CA0AAE9" w14:textId="77777777">
        <w:trPr>
          <w:trHeight w:val="274"/>
          <w:jc w:val="center"/>
        </w:trPr>
        <w:tc>
          <w:tcPr>
            <w:tcW w:w="664" w:type="dxa"/>
            <w:vAlign w:val="center"/>
          </w:tcPr>
          <w:p w:rsidRPr="00573380" w:rsidR="00D72DE1" w:rsidP="00573380" w:rsidRDefault="00D72DE1" w14:paraId="0B1DDD38" w14:textId="05F57D2B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:rsidRPr="00B92F3A" w:rsidR="00D72DE1" w:rsidP="00F4657B" w:rsidRDefault="005C0274" w14:paraId="13BC76B4" w14:textId="0D8F434E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Czas reakcji serwisu (rozpoczęcia działań serwisowych po zgłoszeniu awarii)</w:t>
            </w:r>
          </w:p>
        </w:tc>
        <w:tc>
          <w:tcPr>
            <w:tcW w:w="4252" w:type="dxa"/>
            <w:vAlign w:val="center"/>
          </w:tcPr>
          <w:p w:rsidRPr="00B92F3A" w:rsidR="005C0274" w:rsidP="00573380" w:rsidRDefault="005C0274" w14:paraId="40228433" w14:textId="64118AD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Nie dłuższy niż 48 godzin w dni robocze (należy podać oferowany czas reakcji)</w:t>
            </w:r>
          </w:p>
        </w:tc>
        <w:tc>
          <w:tcPr>
            <w:tcW w:w="4253" w:type="dxa"/>
            <w:vAlign w:val="center"/>
          </w:tcPr>
          <w:p w:rsidRPr="00DD5A39" w:rsidR="00D72DE1" w:rsidP="00F4657B" w:rsidRDefault="00D72DE1" w14:paraId="073663D6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Pr="00DD5A39" w:rsidR="00D72DE1" w:rsidTr="00F4657B" w14:paraId="656DFA33" w14:textId="77777777">
        <w:trPr>
          <w:trHeight w:val="274"/>
          <w:jc w:val="center"/>
        </w:trPr>
        <w:tc>
          <w:tcPr>
            <w:tcW w:w="664" w:type="dxa"/>
            <w:vAlign w:val="center"/>
          </w:tcPr>
          <w:p w:rsidRPr="00573380" w:rsidR="00D72DE1" w:rsidP="00573380" w:rsidRDefault="00D72DE1" w14:paraId="2A2CF576" w14:textId="35CF93A4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:rsidRPr="00B92F3A" w:rsidR="00D72DE1" w:rsidP="00F4657B" w:rsidRDefault="005C0274" w14:paraId="19D1860A" w14:textId="1685B2C7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w okresie na jaki udzielana jest gwarancja. Wykonanie tych czynności musi być zgodne z dokumentacją techniczną i zaleceniami producenta</w:t>
            </w:r>
          </w:p>
        </w:tc>
        <w:tc>
          <w:tcPr>
            <w:tcW w:w="4252" w:type="dxa"/>
            <w:vAlign w:val="center"/>
          </w:tcPr>
          <w:p w:rsidRPr="00B92F3A" w:rsidR="00D72DE1" w:rsidP="00F4657B" w:rsidRDefault="005C0274" w14:paraId="160FDCC4" w14:textId="1E044B23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:rsidRPr="00DD5A39" w:rsidR="00D72DE1" w:rsidP="00F4657B" w:rsidRDefault="00D72DE1" w14:paraId="79950857" w14:textId="7777777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Pr="00DD5A39" w:rsidR="00B3077D" w:rsidP="00841B6C" w:rsidRDefault="00B3077D" w14:paraId="0E79E954" w14:textId="77777777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</w:rPr>
      </w:pPr>
    </w:p>
    <w:sectPr w:rsidRPr="00DD5A39" w:rsidR="00B3077D" w:rsidSect="00D82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03B1" w:rsidP="00655CBD" w:rsidRDefault="003503B1" w14:paraId="6AED68B1" w14:textId="77777777">
      <w:r>
        <w:separator/>
      </w:r>
    </w:p>
  </w:endnote>
  <w:endnote w:type="continuationSeparator" w:id="0">
    <w:p w:rsidR="003503B1" w:rsidP="00655CBD" w:rsidRDefault="003503B1" w14:paraId="2530236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3380" w:rsidRDefault="00573380" w14:paraId="605A9C05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0046664"/>
      <w:docPartObj>
        <w:docPartGallery w:val="Page Numbers (Bottom of Page)"/>
        <w:docPartUnique/>
      </w:docPartObj>
      <w:rPr>
        <w:rFonts w:ascii="Calibri Light" w:hAnsi="Calibri Light" w:eastAsia="" w:cs="Calibri Light" w:asciiTheme="majorAscii" w:hAnsiTheme="majorAscii" w:eastAsiaTheme="majorEastAsia" w:cstheme="majorAscii"/>
        <w:lang w:val="pl-PL"/>
      </w:rPr>
    </w:sdtPr>
    <w:sdtEndPr>
      <w:rPr>
        <w:rFonts w:ascii="Calibri Light" w:hAnsi="Calibri Light" w:eastAsia="" w:cs="Calibri Light" w:asciiTheme="majorAscii" w:hAnsiTheme="majorAscii" w:eastAsiaTheme="majorEastAsia" w:cstheme="majorAscii"/>
        <w:lang w:val="en-US"/>
      </w:rPr>
    </w:sdtEndPr>
    <w:sdtContent>
      <w:p w:rsidRPr="00FC50E6" w:rsidR="005D5182" w:rsidRDefault="005D5182" w14:paraId="0DB76789" w14:textId="77777777">
        <w:pPr>
          <w:pStyle w:val="Stopka"/>
          <w:jc w:val="right"/>
          <w:rPr>
            <w:rFonts w:asciiTheme="majorHAnsi" w:hAnsiTheme="majorHAnsi" w:eastAsiaTheme="majorEastAsia" w:cstheme="majorHAnsi"/>
          </w:rPr>
        </w:pPr>
        <w:r w:rsidRPr="00FC50E6">
          <w:rPr>
            <w:rFonts w:asciiTheme="majorHAnsi" w:hAnsiTheme="majorHAnsi" w:eastAsiaTheme="majorEastAsia" w:cstheme="majorHAnsi"/>
            <w:lang w:val="pl-PL"/>
          </w:rPr>
          <w:t xml:space="preserve">str. </w:t>
        </w:r>
        <w:r w:rsidRPr="00FC50E6">
          <w:rPr>
            <w:rFonts w:asciiTheme="majorHAnsi" w:hAnsiTheme="majorHAnsi" w:eastAsiaTheme="minorEastAsia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hAnsiTheme="majorHAnsi" w:eastAsiaTheme="minorEastAsia" w:cstheme="majorHAnsi"/>
          </w:rPr>
          <w:fldChar w:fldCharType="separate"/>
        </w:r>
        <w:r w:rsidRPr="00DD5A39" w:rsidR="00DD5A39">
          <w:rPr>
            <w:rFonts w:asciiTheme="majorHAnsi" w:hAnsiTheme="majorHAnsi" w:eastAsiaTheme="majorEastAsia" w:cstheme="majorHAnsi"/>
            <w:noProof/>
            <w:lang w:val="pl-PL"/>
          </w:rPr>
          <w:t>2</w:t>
        </w:r>
        <w:r w:rsidRPr="00FC50E6">
          <w:rPr>
            <w:rFonts w:asciiTheme="majorHAnsi" w:hAnsiTheme="majorHAnsi" w:eastAsiaTheme="majorEastAsia" w:cstheme="majorHAnsi"/>
          </w:rPr>
          <w:fldChar w:fldCharType="end"/>
        </w:r>
      </w:p>
    </w:sdtContent>
  </w:sdt>
  <w:p w:rsidR="005D5182" w:rsidRDefault="005D5182" w14:paraId="500BBCD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3380" w:rsidRDefault="00573380" w14:paraId="67D1A50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03B1" w:rsidP="00655CBD" w:rsidRDefault="003503B1" w14:paraId="5B49E869" w14:textId="77777777">
      <w:r>
        <w:separator/>
      </w:r>
    </w:p>
  </w:footnote>
  <w:footnote w:type="continuationSeparator" w:id="0">
    <w:p w:rsidR="003503B1" w:rsidP="00655CBD" w:rsidRDefault="003503B1" w14:paraId="0BF2D0D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3380" w:rsidRDefault="00573380" w14:paraId="402694DD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3380" w:rsidRDefault="00573380" w14:paraId="10B0457E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827AC" w:rsidP="00D827AC" w:rsidRDefault="00573380" w14:paraId="23C88252" w14:textId="30863B1A">
    <w:pPr>
      <w:jc w:val="both"/>
    </w:pPr>
    <w:r>
      <w:rPr>
        <w:noProof/>
      </w:rPr>
      <w:drawing>
        <wp:inline distT="0" distB="0" distL="0" distR="0" wp14:anchorId="28963268" wp14:editId="25189115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C1B7998"/>
    <w:multiLevelType w:val="hybridMultilevel"/>
    <w:tmpl w:val="295AE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4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6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1"/>
  </w:num>
  <w:num w:numId="4" w16cid:durableId="1241674174">
    <w:abstractNumId w:val="9"/>
  </w:num>
  <w:num w:numId="5" w16cid:durableId="1408959481">
    <w:abstractNumId w:val="3"/>
  </w:num>
  <w:num w:numId="6" w16cid:durableId="134614953">
    <w:abstractNumId w:val="16"/>
  </w:num>
  <w:num w:numId="7" w16cid:durableId="1159997613">
    <w:abstractNumId w:val="4"/>
  </w:num>
  <w:num w:numId="8" w16cid:durableId="285551449">
    <w:abstractNumId w:val="17"/>
  </w:num>
  <w:num w:numId="9" w16cid:durableId="1906640541">
    <w:abstractNumId w:val="7"/>
  </w:num>
  <w:num w:numId="10" w16cid:durableId="697387419">
    <w:abstractNumId w:val="20"/>
  </w:num>
  <w:num w:numId="11" w16cid:durableId="698631529">
    <w:abstractNumId w:val="19"/>
  </w:num>
  <w:num w:numId="12" w16cid:durableId="2052223779">
    <w:abstractNumId w:val="14"/>
  </w:num>
  <w:num w:numId="13" w16cid:durableId="1485973150">
    <w:abstractNumId w:val="18"/>
  </w:num>
  <w:num w:numId="14" w16cid:durableId="1990549973">
    <w:abstractNumId w:val="11"/>
  </w:num>
  <w:num w:numId="15" w16cid:durableId="263076319">
    <w:abstractNumId w:val="13"/>
  </w:num>
  <w:num w:numId="16" w16cid:durableId="493959183">
    <w:abstractNumId w:val="10"/>
  </w:num>
  <w:num w:numId="17" w16cid:durableId="1707216109">
    <w:abstractNumId w:val="8"/>
  </w:num>
  <w:num w:numId="18" w16cid:durableId="1045830503">
    <w:abstractNumId w:val="15"/>
  </w:num>
  <w:num w:numId="19" w16cid:durableId="948003846">
    <w:abstractNumId w:val="5"/>
  </w:num>
  <w:num w:numId="20" w16cid:durableId="1429616280">
    <w:abstractNumId w:val="6"/>
  </w:num>
  <w:num w:numId="21" w16cid:durableId="1450054644">
    <w:abstractNumId w:val="1"/>
  </w:num>
  <w:num w:numId="22" w16cid:durableId="5857737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7B70"/>
    <w:rsid w:val="00026CC0"/>
    <w:rsid w:val="00053E85"/>
    <w:rsid w:val="00054D2A"/>
    <w:rsid w:val="00064801"/>
    <w:rsid w:val="000649B2"/>
    <w:rsid w:val="000750A4"/>
    <w:rsid w:val="000864C2"/>
    <w:rsid w:val="00092BF7"/>
    <w:rsid w:val="000A46F0"/>
    <w:rsid w:val="000A4A94"/>
    <w:rsid w:val="000A4D8D"/>
    <w:rsid w:val="000A6DA6"/>
    <w:rsid w:val="000B3348"/>
    <w:rsid w:val="000E0E18"/>
    <w:rsid w:val="000E11E6"/>
    <w:rsid w:val="000E41AA"/>
    <w:rsid w:val="000E43B2"/>
    <w:rsid w:val="000F0406"/>
    <w:rsid w:val="000F6EFE"/>
    <w:rsid w:val="00106DEE"/>
    <w:rsid w:val="0012562D"/>
    <w:rsid w:val="0013066A"/>
    <w:rsid w:val="0014005B"/>
    <w:rsid w:val="00141BD7"/>
    <w:rsid w:val="00142244"/>
    <w:rsid w:val="00151A77"/>
    <w:rsid w:val="00152775"/>
    <w:rsid w:val="00152864"/>
    <w:rsid w:val="00160470"/>
    <w:rsid w:val="0016462A"/>
    <w:rsid w:val="00172F66"/>
    <w:rsid w:val="00191095"/>
    <w:rsid w:val="001A71AB"/>
    <w:rsid w:val="001B1360"/>
    <w:rsid w:val="001D1833"/>
    <w:rsid w:val="001D45E0"/>
    <w:rsid w:val="001D53CA"/>
    <w:rsid w:val="001D5870"/>
    <w:rsid w:val="001E01E9"/>
    <w:rsid w:val="001F368B"/>
    <w:rsid w:val="001F480C"/>
    <w:rsid w:val="001F59FC"/>
    <w:rsid w:val="00210608"/>
    <w:rsid w:val="00214E69"/>
    <w:rsid w:val="002173BD"/>
    <w:rsid w:val="0022269D"/>
    <w:rsid w:val="002276DB"/>
    <w:rsid w:val="00230183"/>
    <w:rsid w:val="00235617"/>
    <w:rsid w:val="00237D2E"/>
    <w:rsid w:val="002464FC"/>
    <w:rsid w:val="00246EE0"/>
    <w:rsid w:val="00250480"/>
    <w:rsid w:val="00254800"/>
    <w:rsid w:val="002607AE"/>
    <w:rsid w:val="002850E5"/>
    <w:rsid w:val="0029009B"/>
    <w:rsid w:val="0029123B"/>
    <w:rsid w:val="002966D1"/>
    <w:rsid w:val="00296E00"/>
    <w:rsid w:val="002A4C44"/>
    <w:rsid w:val="002B3D9F"/>
    <w:rsid w:val="002D0A32"/>
    <w:rsid w:val="002D5008"/>
    <w:rsid w:val="002D5A4F"/>
    <w:rsid w:val="002E2D31"/>
    <w:rsid w:val="002E612A"/>
    <w:rsid w:val="002E72CF"/>
    <w:rsid w:val="002F1BA8"/>
    <w:rsid w:val="002F3C77"/>
    <w:rsid w:val="003007FB"/>
    <w:rsid w:val="00311031"/>
    <w:rsid w:val="00316610"/>
    <w:rsid w:val="0031748E"/>
    <w:rsid w:val="0032099B"/>
    <w:rsid w:val="0033367F"/>
    <w:rsid w:val="003503B1"/>
    <w:rsid w:val="00372B5E"/>
    <w:rsid w:val="00373207"/>
    <w:rsid w:val="00381A34"/>
    <w:rsid w:val="00382C28"/>
    <w:rsid w:val="003839CD"/>
    <w:rsid w:val="00385CFD"/>
    <w:rsid w:val="003940DF"/>
    <w:rsid w:val="003B24DA"/>
    <w:rsid w:val="003B32C2"/>
    <w:rsid w:val="003B5444"/>
    <w:rsid w:val="003D03AD"/>
    <w:rsid w:val="003D3A2A"/>
    <w:rsid w:val="003D698A"/>
    <w:rsid w:val="003E1107"/>
    <w:rsid w:val="003E24F3"/>
    <w:rsid w:val="003E38BA"/>
    <w:rsid w:val="003E5E84"/>
    <w:rsid w:val="003E6AA9"/>
    <w:rsid w:val="003F0F21"/>
    <w:rsid w:val="003F2E6D"/>
    <w:rsid w:val="003F3536"/>
    <w:rsid w:val="003F5301"/>
    <w:rsid w:val="00403DF0"/>
    <w:rsid w:val="004059C6"/>
    <w:rsid w:val="00417542"/>
    <w:rsid w:val="00425E9D"/>
    <w:rsid w:val="00426D22"/>
    <w:rsid w:val="00430D02"/>
    <w:rsid w:val="004400A6"/>
    <w:rsid w:val="00440FC1"/>
    <w:rsid w:val="00470E6D"/>
    <w:rsid w:val="00474966"/>
    <w:rsid w:val="00484F0D"/>
    <w:rsid w:val="004950D0"/>
    <w:rsid w:val="004A4072"/>
    <w:rsid w:val="004A6F68"/>
    <w:rsid w:val="004B1521"/>
    <w:rsid w:val="004B2F4C"/>
    <w:rsid w:val="004C4575"/>
    <w:rsid w:val="004C48AC"/>
    <w:rsid w:val="004C5586"/>
    <w:rsid w:val="004C5C73"/>
    <w:rsid w:val="004D3793"/>
    <w:rsid w:val="004D456E"/>
    <w:rsid w:val="004D574B"/>
    <w:rsid w:val="004E0CE5"/>
    <w:rsid w:val="004E268D"/>
    <w:rsid w:val="004E27D5"/>
    <w:rsid w:val="004E27D9"/>
    <w:rsid w:val="005000B1"/>
    <w:rsid w:val="00504FB1"/>
    <w:rsid w:val="005072D8"/>
    <w:rsid w:val="00510CBE"/>
    <w:rsid w:val="00523166"/>
    <w:rsid w:val="00524D86"/>
    <w:rsid w:val="00537323"/>
    <w:rsid w:val="00540786"/>
    <w:rsid w:val="00542586"/>
    <w:rsid w:val="00545D5E"/>
    <w:rsid w:val="0056069C"/>
    <w:rsid w:val="00573380"/>
    <w:rsid w:val="005738E7"/>
    <w:rsid w:val="005756FB"/>
    <w:rsid w:val="00580D63"/>
    <w:rsid w:val="00581E87"/>
    <w:rsid w:val="00593A92"/>
    <w:rsid w:val="00596C6A"/>
    <w:rsid w:val="005C0274"/>
    <w:rsid w:val="005C7247"/>
    <w:rsid w:val="005D166B"/>
    <w:rsid w:val="005D5182"/>
    <w:rsid w:val="005E1DF1"/>
    <w:rsid w:val="005F6FE1"/>
    <w:rsid w:val="00610A57"/>
    <w:rsid w:val="006150CD"/>
    <w:rsid w:val="00617379"/>
    <w:rsid w:val="0063020C"/>
    <w:rsid w:val="0063118A"/>
    <w:rsid w:val="00636428"/>
    <w:rsid w:val="00645B94"/>
    <w:rsid w:val="00646E3A"/>
    <w:rsid w:val="00655CBD"/>
    <w:rsid w:val="00664EE2"/>
    <w:rsid w:val="00665271"/>
    <w:rsid w:val="00667CBD"/>
    <w:rsid w:val="0067137A"/>
    <w:rsid w:val="00682EAD"/>
    <w:rsid w:val="006955B2"/>
    <w:rsid w:val="006A10C3"/>
    <w:rsid w:val="006A3A0D"/>
    <w:rsid w:val="006A3A62"/>
    <w:rsid w:val="006A4264"/>
    <w:rsid w:val="006A431E"/>
    <w:rsid w:val="006A7649"/>
    <w:rsid w:val="006B150B"/>
    <w:rsid w:val="006B3532"/>
    <w:rsid w:val="006B4C07"/>
    <w:rsid w:val="006B5684"/>
    <w:rsid w:val="006C470E"/>
    <w:rsid w:val="006D4D34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20A5B"/>
    <w:rsid w:val="00724664"/>
    <w:rsid w:val="007409BA"/>
    <w:rsid w:val="00741275"/>
    <w:rsid w:val="0074555E"/>
    <w:rsid w:val="007640DC"/>
    <w:rsid w:val="00764889"/>
    <w:rsid w:val="0077053E"/>
    <w:rsid w:val="007921FC"/>
    <w:rsid w:val="007B12B3"/>
    <w:rsid w:val="007C0526"/>
    <w:rsid w:val="007C3EB3"/>
    <w:rsid w:val="007D2F41"/>
    <w:rsid w:val="007D589F"/>
    <w:rsid w:val="007F4CBE"/>
    <w:rsid w:val="00805EBD"/>
    <w:rsid w:val="00806FBC"/>
    <w:rsid w:val="00814367"/>
    <w:rsid w:val="00814BEA"/>
    <w:rsid w:val="00824155"/>
    <w:rsid w:val="0082443F"/>
    <w:rsid w:val="00841365"/>
    <w:rsid w:val="00841B6C"/>
    <w:rsid w:val="00843963"/>
    <w:rsid w:val="00854CCE"/>
    <w:rsid w:val="008600A6"/>
    <w:rsid w:val="00862083"/>
    <w:rsid w:val="008710F1"/>
    <w:rsid w:val="0087449E"/>
    <w:rsid w:val="00875CE3"/>
    <w:rsid w:val="0087607F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D0A8A"/>
    <w:rsid w:val="008D1481"/>
    <w:rsid w:val="008D1571"/>
    <w:rsid w:val="008D3CAD"/>
    <w:rsid w:val="008D64C9"/>
    <w:rsid w:val="008E433C"/>
    <w:rsid w:val="008F6985"/>
    <w:rsid w:val="00906AA4"/>
    <w:rsid w:val="00907249"/>
    <w:rsid w:val="00920E99"/>
    <w:rsid w:val="00921397"/>
    <w:rsid w:val="009250F2"/>
    <w:rsid w:val="0092774F"/>
    <w:rsid w:val="0093282C"/>
    <w:rsid w:val="00932D8F"/>
    <w:rsid w:val="009351BE"/>
    <w:rsid w:val="00937031"/>
    <w:rsid w:val="009375EE"/>
    <w:rsid w:val="0094264B"/>
    <w:rsid w:val="009511D3"/>
    <w:rsid w:val="00952968"/>
    <w:rsid w:val="00961780"/>
    <w:rsid w:val="009618A0"/>
    <w:rsid w:val="00976D79"/>
    <w:rsid w:val="00983253"/>
    <w:rsid w:val="0098440B"/>
    <w:rsid w:val="0099039F"/>
    <w:rsid w:val="00990932"/>
    <w:rsid w:val="00994F0D"/>
    <w:rsid w:val="009A2883"/>
    <w:rsid w:val="009B2F03"/>
    <w:rsid w:val="009B7C73"/>
    <w:rsid w:val="00A0721A"/>
    <w:rsid w:val="00A073A1"/>
    <w:rsid w:val="00A11B8A"/>
    <w:rsid w:val="00A304BE"/>
    <w:rsid w:val="00A30728"/>
    <w:rsid w:val="00A34518"/>
    <w:rsid w:val="00A478EC"/>
    <w:rsid w:val="00A53ADE"/>
    <w:rsid w:val="00A56842"/>
    <w:rsid w:val="00A67B9C"/>
    <w:rsid w:val="00A70B4E"/>
    <w:rsid w:val="00A76FDB"/>
    <w:rsid w:val="00A86904"/>
    <w:rsid w:val="00A97744"/>
    <w:rsid w:val="00AA2D4A"/>
    <w:rsid w:val="00AA5942"/>
    <w:rsid w:val="00AA6788"/>
    <w:rsid w:val="00AB72FF"/>
    <w:rsid w:val="00AC3537"/>
    <w:rsid w:val="00AD1FFB"/>
    <w:rsid w:val="00AD7F3C"/>
    <w:rsid w:val="00AE0874"/>
    <w:rsid w:val="00AF6A93"/>
    <w:rsid w:val="00B0278D"/>
    <w:rsid w:val="00B11389"/>
    <w:rsid w:val="00B16974"/>
    <w:rsid w:val="00B24653"/>
    <w:rsid w:val="00B25EE8"/>
    <w:rsid w:val="00B3077D"/>
    <w:rsid w:val="00B4244F"/>
    <w:rsid w:val="00B4731A"/>
    <w:rsid w:val="00B6096D"/>
    <w:rsid w:val="00B72ACC"/>
    <w:rsid w:val="00B90D55"/>
    <w:rsid w:val="00B9164D"/>
    <w:rsid w:val="00B92F3A"/>
    <w:rsid w:val="00BC34E5"/>
    <w:rsid w:val="00BC422F"/>
    <w:rsid w:val="00BD3A53"/>
    <w:rsid w:val="00BE1167"/>
    <w:rsid w:val="00BE288C"/>
    <w:rsid w:val="00BE624D"/>
    <w:rsid w:val="00BF4947"/>
    <w:rsid w:val="00BF760D"/>
    <w:rsid w:val="00C078B0"/>
    <w:rsid w:val="00C11802"/>
    <w:rsid w:val="00C1184A"/>
    <w:rsid w:val="00C14792"/>
    <w:rsid w:val="00C202D4"/>
    <w:rsid w:val="00C25AAB"/>
    <w:rsid w:val="00C340FF"/>
    <w:rsid w:val="00C52EC2"/>
    <w:rsid w:val="00C538A7"/>
    <w:rsid w:val="00C55D48"/>
    <w:rsid w:val="00C62F73"/>
    <w:rsid w:val="00C64760"/>
    <w:rsid w:val="00C66EAA"/>
    <w:rsid w:val="00C752E9"/>
    <w:rsid w:val="00C76E1A"/>
    <w:rsid w:val="00C8560C"/>
    <w:rsid w:val="00C865A5"/>
    <w:rsid w:val="00C905AA"/>
    <w:rsid w:val="00CD4649"/>
    <w:rsid w:val="00CD47CB"/>
    <w:rsid w:val="00CD61CF"/>
    <w:rsid w:val="00CE30C1"/>
    <w:rsid w:val="00CF617B"/>
    <w:rsid w:val="00D0179E"/>
    <w:rsid w:val="00D027C9"/>
    <w:rsid w:val="00D10319"/>
    <w:rsid w:val="00D20992"/>
    <w:rsid w:val="00D232F6"/>
    <w:rsid w:val="00D2356C"/>
    <w:rsid w:val="00D3004F"/>
    <w:rsid w:val="00D322C3"/>
    <w:rsid w:val="00D34D84"/>
    <w:rsid w:val="00D40699"/>
    <w:rsid w:val="00D60093"/>
    <w:rsid w:val="00D72DE1"/>
    <w:rsid w:val="00D827AC"/>
    <w:rsid w:val="00D85C31"/>
    <w:rsid w:val="00D9402F"/>
    <w:rsid w:val="00DA41B9"/>
    <w:rsid w:val="00DB00FA"/>
    <w:rsid w:val="00DB29EE"/>
    <w:rsid w:val="00DB3208"/>
    <w:rsid w:val="00DC191F"/>
    <w:rsid w:val="00DD1079"/>
    <w:rsid w:val="00DD1191"/>
    <w:rsid w:val="00DD5A39"/>
    <w:rsid w:val="00DE0341"/>
    <w:rsid w:val="00DF4292"/>
    <w:rsid w:val="00E00D06"/>
    <w:rsid w:val="00E022C5"/>
    <w:rsid w:val="00E20DA4"/>
    <w:rsid w:val="00E27458"/>
    <w:rsid w:val="00E30022"/>
    <w:rsid w:val="00E3285B"/>
    <w:rsid w:val="00E3341F"/>
    <w:rsid w:val="00E51601"/>
    <w:rsid w:val="00E575FD"/>
    <w:rsid w:val="00E610F1"/>
    <w:rsid w:val="00E73AE1"/>
    <w:rsid w:val="00E82695"/>
    <w:rsid w:val="00E87124"/>
    <w:rsid w:val="00E921CF"/>
    <w:rsid w:val="00E967F7"/>
    <w:rsid w:val="00EA4EFE"/>
    <w:rsid w:val="00EB4F00"/>
    <w:rsid w:val="00EC757D"/>
    <w:rsid w:val="00ED3319"/>
    <w:rsid w:val="00F06B90"/>
    <w:rsid w:val="00F1059B"/>
    <w:rsid w:val="00F11D70"/>
    <w:rsid w:val="00F215C8"/>
    <w:rsid w:val="00F27262"/>
    <w:rsid w:val="00F33FAE"/>
    <w:rsid w:val="00F36B42"/>
    <w:rsid w:val="00F519D3"/>
    <w:rsid w:val="00F7097F"/>
    <w:rsid w:val="00F80F46"/>
    <w:rsid w:val="00FA46B3"/>
    <w:rsid w:val="00FA50B7"/>
    <w:rsid w:val="00FB3A95"/>
    <w:rsid w:val="00FC1E82"/>
    <w:rsid w:val="00FC3C6D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F61D4"/>
    <w:rsid w:val="097BF51E"/>
    <w:rsid w:val="434F32D9"/>
    <w:rsid w:val="690501B0"/>
    <w:rsid w:val="7E87E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hAnsi="Calibri Light" w:eastAsiaTheme="minorHAnsi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55CBD"/>
    <w:pPr>
      <w:suppressAutoHyphens/>
      <w:spacing w:after="0" w:line="240" w:lineRule="auto"/>
    </w:pPr>
    <w:rPr>
      <w:rFonts w:ascii="Times New Roman" w:hAnsi="Times New Roman" w:eastAsia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3Znak" w:customStyle="1">
    <w:name w:val="Nagłówek 3 Znak"/>
    <w:basedOn w:val="Domylnaczcionkaakapitu"/>
    <w:link w:val="Nagwek3"/>
    <w:rsid w:val="00655CBD"/>
    <w:rPr>
      <w:rFonts w:ascii="Comic Sans MS" w:hAnsi="Comic Sans MS" w:eastAsia="Times New Roman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styleId="StopkaZnak" w:customStyle="1">
    <w:name w:val="Stopka Znak"/>
    <w:basedOn w:val="Domylnaczcionkaakapitu"/>
    <w:link w:val="Stopka"/>
    <w:uiPriority w:val="99"/>
    <w:rsid w:val="00655CBD"/>
    <w:rPr>
      <w:rFonts w:ascii="Times New Roman" w:hAnsi="Times New Roman" w:eastAsia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55CBD"/>
    <w:rPr>
      <w:rFonts w:ascii="Times New Roman" w:hAnsi="Times New Roman" w:eastAsia="Times New Roman" w:cs="Times New Roman"/>
      <w:szCs w:val="24"/>
      <w:lang w:eastAsia="ar-SA"/>
    </w:rPr>
  </w:style>
  <w:style w:type="paragraph" w:styleId="Style17" w:customStyle="1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26D22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hAnsi="Garamond" w:eastAsia="Times New Roman" w:cs="Times New Roman"/>
      <w:szCs w:val="20"/>
      <w:lang w:eastAsia="pl-PL"/>
    </w:rPr>
  </w:style>
  <w:style w:type="character" w:styleId="FontStyle18" w:customStyle="1">
    <w:name w:val="Font Style18"/>
    <w:rsid w:val="00426D22"/>
    <w:rPr>
      <w:rFonts w:hint="default" w:ascii="Arial" w:hAnsi="Arial" w:cs="Arial"/>
      <w:color w:val="000000"/>
      <w:sz w:val="18"/>
      <w:szCs w:val="18"/>
    </w:rPr>
  </w:style>
  <w:style w:type="character" w:styleId="AkapitzlistZnak" w:customStyle="1">
    <w:name w:val="Akapit z listą Znak"/>
    <w:link w:val="Akapitzlist"/>
    <w:uiPriority w:val="34"/>
    <w:rsid w:val="004E268D"/>
    <w:rPr>
      <w:rFonts w:ascii="Times New Roman" w:hAnsi="Times New Roman" w:eastAsia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D1C62C-CC1F-4AF6-909B-677C5AEDED51}"/>
</file>

<file path=customXml/itemProps2.xml><?xml version="1.0" encoding="utf-8"?>
<ds:datastoreItem xmlns:ds="http://schemas.openxmlformats.org/officeDocument/2006/customXml" ds:itemID="{C9045694-A9FD-49D5-BC6B-55A4BBC34651}"/>
</file>

<file path=customXml/itemProps3.xml><?xml version="1.0" encoding="utf-8"?>
<ds:datastoreItem xmlns:ds="http://schemas.openxmlformats.org/officeDocument/2006/customXml" ds:itemID="{B47EDC13-C230-4D3B-B657-1699866FA98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Bartłomiej Noga</lastModifiedBy>
  <revision>2</revision>
  <dcterms:created xsi:type="dcterms:W3CDTF">2026-02-10T07:25:00.0000000Z</dcterms:created>
  <dcterms:modified xsi:type="dcterms:W3CDTF">2026-04-02T08:20:49.2233611Z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